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567D" w14:textId="77777777" w:rsidR="005E215E" w:rsidRDefault="005E215E" w:rsidP="004E0F06">
      <w:r>
        <w:rPr>
          <w:noProof/>
          <w:lang w:eastAsia="nl-NL"/>
        </w:rPr>
        <w:drawing>
          <wp:anchor distT="0" distB="0" distL="114300" distR="114300" simplePos="0" relativeHeight="251659776" behindDoc="1" locked="0" layoutInCell="1" allowOverlap="1" wp14:anchorId="6DBC5F32" wp14:editId="6E9CEC29">
            <wp:simplePos x="0" y="0"/>
            <wp:positionH relativeFrom="column">
              <wp:posOffset>-4445</wp:posOffset>
            </wp:positionH>
            <wp:positionV relativeFrom="paragraph">
              <wp:posOffset>313055</wp:posOffset>
            </wp:positionV>
            <wp:extent cx="2135050" cy="9715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Hogeland_Logo_rgb_turquoise_pos_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9840" cy="978280"/>
                    </a:xfrm>
                    <a:prstGeom prst="rect">
                      <a:avLst/>
                    </a:prstGeom>
                  </pic:spPr>
                </pic:pic>
              </a:graphicData>
            </a:graphic>
            <wp14:sizeRelH relativeFrom="margin">
              <wp14:pctWidth>0</wp14:pctWidth>
            </wp14:sizeRelH>
            <wp14:sizeRelV relativeFrom="margin">
              <wp14:pctHeight>0</wp14:pctHeight>
            </wp14:sizeRelV>
          </wp:anchor>
        </w:drawing>
      </w:r>
    </w:p>
    <w:tbl>
      <w:tblPr>
        <w:tblStyle w:val="Rastertabel1licht-Accent5"/>
        <w:tblpPr w:leftFromText="141" w:rightFromText="141" w:vertAnchor="text" w:horzAnchor="page" w:tblpX="5308" w:tblpY="214"/>
        <w:tblW w:w="5760" w:type="dxa"/>
        <w:tblLayout w:type="fixed"/>
        <w:tblLook w:val="04A0" w:firstRow="1" w:lastRow="0" w:firstColumn="1" w:lastColumn="0" w:noHBand="0" w:noVBand="1"/>
      </w:tblPr>
      <w:tblGrid>
        <w:gridCol w:w="5760"/>
      </w:tblGrid>
      <w:tr w:rsidR="005E215E" w:rsidRPr="00805A7B" w14:paraId="600AAD87" w14:textId="77777777" w:rsidTr="005E215E">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760" w:type="dxa"/>
            <w:shd w:val="clear" w:color="auto" w:fill="CAF6F7" w:themeFill="accent5" w:themeFillTint="33"/>
            <w:vAlign w:val="center"/>
          </w:tcPr>
          <w:p w14:paraId="2CB2EDB3" w14:textId="77777777" w:rsidR="005E215E" w:rsidRPr="00F71726" w:rsidRDefault="005E215E" w:rsidP="005E215E">
            <w:pPr>
              <w:jc w:val="center"/>
              <w:rPr>
                <w:rFonts w:cstheme="minorHAnsi"/>
                <w:sz w:val="28"/>
                <w:szCs w:val="28"/>
              </w:rPr>
            </w:pPr>
            <w:r>
              <w:rPr>
                <w:rFonts w:cstheme="minorHAnsi"/>
                <w:sz w:val="28"/>
                <w:szCs w:val="28"/>
              </w:rPr>
              <w:t>Beantwoording s</w:t>
            </w:r>
            <w:r w:rsidRPr="00F71726">
              <w:rPr>
                <w:rFonts w:cstheme="minorHAnsi"/>
                <w:sz w:val="28"/>
                <w:szCs w:val="28"/>
              </w:rPr>
              <w:t xml:space="preserve">chriftelijke vraag/vragen </w:t>
            </w:r>
          </w:p>
          <w:p w14:paraId="6755C245" w14:textId="7BE8148C" w:rsidR="005E215E" w:rsidRPr="00870C45" w:rsidRDefault="005E215E" w:rsidP="005E215E">
            <w:pPr>
              <w:jc w:val="center"/>
              <w:rPr>
                <w:rFonts w:cstheme="minorHAnsi"/>
              </w:rPr>
            </w:pPr>
            <w:r w:rsidRPr="00870C45">
              <w:rPr>
                <w:rFonts w:cstheme="minorHAnsi"/>
              </w:rPr>
              <w:t xml:space="preserve">cf. art. </w:t>
            </w:r>
            <w:r>
              <w:rPr>
                <w:rFonts w:cstheme="minorHAnsi"/>
              </w:rPr>
              <w:t>3</w:t>
            </w:r>
            <w:r w:rsidR="00DD371C">
              <w:rPr>
                <w:rFonts w:cstheme="minorHAnsi"/>
              </w:rPr>
              <w:t>5</w:t>
            </w:r>
            <w:r>
              <w:rPr>
                <w:rFonts w:cstheme="minorHAnsi"/>
              </w:rPr>
              <w:t xml:space="preserve"> Reg</w:t>
            </w:r>
            <w:r w:rsidRPr="00870C45">
              <w:rPr>
                <w:rFonts w:cstheme="minorHAnsi"/>
              </w:rPr>
              <w:t xml:space="preserve">lement van Orde gemeenteraad </w:t>
            </w:r>
          </w:p>
        </w:tc>
      </w:tr>
    </w:tbl>
    <w:p w14:paraId="14AFF36E" w14:textId="77777777" w:rsidR="005E215E" w:rsidRDefault="005E215E" w:rsidP="004E0F06"/>
    <w:p w14:paraId="3D1A7F34" w14:textId="77777777" w:rsidR="005E215E" w:rsidRDefault="005E215E" w:rsidP="004E0F06"/>
    <w:p w14:paraId="3C8EC93B" w14:textId="77777777" w:rsidR="005E215E" w:rsidRDefault="005E215E" w:rsidP="004E0F06"/>
    <w:p w14:paraId="4CCAA005" w14:textId="77777777" w:rsidR="005E215E" w:rsidRDefault="005E215E" w:rsidP="004E0F06"/>
    <w:p w14:paraId="1469B384" w14:textId="77777777" w:rsidR="005E215E" w:rsidRDefault="005E215E" w:rsidP="004E0F06"/>
    <w:tbl>
      <w:tblPr>
        <w:tblStyle w:val="Rastertabel1licht-Accent5"/>
        <w:tblW w:w="9180" w:type="dxa"/>
        <w:tblLayout w:type="fixed"/>
        <w:tblLook w:val="04A0" w:firstRow="1" w:lastRow="0" w:firstColumn="1" w:lastColumn="0" w:noHBand="0" w:noVBand="1"/>
      </w:tblPr>
      <w:tblGrid>
        <w:gridCol w:w="3510"/>
        <w:gridCol w:w="5670"/>
      </w:tblGrid>
      <w:tr w:rsidR="005E215E" w:rsidRPr="00805A7B" w14:paraId="2C4F6B42" w14:textId="77777777" w:rsidTr="008E4B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6187E4F" w14:textId="77777777" w:rsidR="005E215E" w:rsidRPr="00BD1B71" w:rsidRDefault="005E215E" w:rsidP="00E87021">
            <w:pPr>
              <w:spacing w:after="120"/>
              <w:rPr>
                <w:rFonts w:cstheme="minorHAnsi"/>
              </w:rPr>
            </w:pPr>
            <w:r w:rsidRPr="00BD1B71">
              <w:rPr>
                <w:rFonts w:cstheme="minorHAnsi"/>
              </w:rPr>
              <w:t>Onderwerp:</w:t>
            </w:r>
          </w:p>
        </w:tc>
        <w:tc>
          <w:tcPr>
            <w:tcW w:w="5670" w:type="dxa"/>
          </w:tcPr>
          <w:p w14:paraId="64B26EBE" w14:textId="3EB01BD6" w:rsidR="005E215E" w:rsidRPr="008E4BA8" w:rsidRDefault="001800E4" w:rsidP="00E87021">
            <w:pPr>
              <w:spacing w:after="120"/>
              <w:cnfStyle w:val="100000000000" w:firstRow="1" w:lastRow="0" w:firstColumn="0" w:lastColumn="0" w:oddVBand="0" w:evenVBand="0" w:oddHBand="0" w:evenHBand="0" w:firstRowFirstColumn="0" w:firstRowLastColumn="0" w:lastRowFirstColumn="0" w:lastRowLastColumn="0"/>
              <w:rPr>
                <w:rFonts w:cstheme="minorHAnsi"/>
                <w:b w:val="0"/>
                <w:color w:val="00B050"/>
              </w:rPr>
            </w:pPr>
            <w:r>
              <w:rPr>
                <w:rFonts w:cstheme="minorHAnsi"/>
                <w:b w:val="0"/>
                <w:color w:val="00B050"/>
              </w:rPr>
              <w:t>Groningenhuurt.nl en kansen voor eigen inwoners</w:t>
            </w:r>
          </w:p>
        </w:tc>
      </w:tr>
      <w:tr w:rsidR="005E215E" w:rsidRPr="00805A7B" w14:paraId="78A11CFC" w14:textId="77777777" w:rsidTr="008E4BA8">
        <w:tc>
          <w:tcPr>
            <w:cnfStyle w:val="001000000000" w:firstRow="0" w:lastRow="0" w:firstColumn="1" w:lastColumn="0" w:oddVBand="0" w:evenVBand="0" w:oddHBand="0" w:evenHBand="0" w:firstRowFirstColumn="0" w:firstRowLastColumn="0" w:lastRowFirstColumn="0" w:lastRowLastColumn="0"/>
            <w:tcW w:w="3510" w:type="dxa"/>
          </w:tcPr>
          <w:p w14:paraId="7DD27C98" w14:textId="77777777" w:rsidR="005E215E" w:rsidRPr="00BD1B71" w:rsidRDefault="005E215E" w:rsidP="00E87021">
            <w:pPr>
              <w:spacing w:after="120"/>
              <w:rPr>
                <w:rFonts w:cstheme="minorHAnsi"/>
              </w:rPr>
            </w:pPr>
            <w:r w:rsidRPr="00BD1B71">
              <w:rPr>
                <w:rFonts w:cstheme="minorHAnsi"/>
              </w:rPr>
              <w:t>Portefeuillehouder:</w:t>
            </w:r>
          </w:p>
        </w:tc>
        <w:tc>
          <w:tcPr>
            <w:tcW w:w="5670" w:type="dxa"/>
          </w:tcPr>
          <w:p w14:paraId="0F02C736" w14:textId="173EB494" w:rsidR="005E215E" w:rsidRDefault="001800E4" w:rsidP="00E87021">
            <w:pPr>
              <w:spacing w:after="120"/>
              <w:cnfStyle w:val="000000000000" w:firstRow="0" w:lastRow="0" w:firstColumn="0" w:lastColumn="0" w:oddVBand="0" w:evenVBand="0" w:oddHBand="0" w:evenHBand="0" w:firstRowFirstColumn="0" w:firstRowLastColumn="0" w:lastRowFirstColumn="0" w:lastRowLastColumn="0"/>
              <w:rPr>
                <w:rFonts w:cstheme="minorHAnsi"/>
                <w:color w:val="00B050"/>
              </w:rPr>
            </w:pPr>
            <w:r>
              <w:rPr>
                <w:rFonts w:cstheme="minorHAnsi"/>
                <w:color w:val="00B050"/>
              </w:rPr>
              <w:t xml:space="preserve">Han Hefting </w:t>
            </w:r>
          </w:p>
        </w:tc>
      </w:tr>
      <w:tr w:rsidR="00421C74" w:rsidRPr="00805A7B" w14:paraId="0FCFFC78" w14:textId="77777777" w:rsidTr="008E4BA8">
        <w:tc>
          <w:tcPr>
            <w:cnfStyle w:val="001000000000" w:firstRow="0" w:lastRow="0" w:firstColumn="1" w:lastColumn="0" w:oddVBand="0" w:evenVBand="0" w:oddHBand="0" w:evenHBand="0" w:firstRowFirstColumn="0" w:firstRowLastColumn="0" w:lastRowFirstColumn="0" w:lastRowLastColumn="0"/>
            <w:tcW w:w="3510" w:type="dxa"/>
          </w:tcPr>
          <w:p w14:paraId="57E1DC7E" w14:textId="77777777" w:rsidR="00421C74" w:rsidRPr="00BD1B71" w:rsidRDefault="00421C74" w:rsidP="00E87021">
            <w:pPr>
              <w:spacing w:after="120"/>
              <w:rPr>
                <w:rFonts w:cstheme="minorHAnsi"/>
              </w:rPr>
            </w:pPr>
            <w:r>
              <w:rPr>
                <w:rFonts w:cstheme="minorHAnsi"/>
              </w:rPr>
              <w:t>Datum beantwoording</w:t>
            </w:r>
            <w:r w:rsidR="00E87021">
              <w:rPr>
                <w:rFonts w:cstheme="minorHAnsi"/>
              </w:rPr>
              <w:t>:</w:t>
            </w:r>
          </w:p>
        </w:tc>
        <w:tc>
          <w:tcPr>
            <w:tcW w:w="5670" w:type="dxa"/>
          </w:tcPr>
          <w:p w14:paraId="0ED4ABD0" w14:textId="302A273E" w:rsidR="00421C74" w:rsidRDefault="001800E4" w:rsidP="00E87021">
            <w:pPr>
              <w:spacing w:after="120"/>
              <w:cnfStyle w:val="000000000000" w:firstRow="0" w:lastRow="0" w:firstColumn="0" w:lastColumn="0" w:oddVBand="0" w:evenVBand="0" w:oddHBand="0" w:evenHBand="0" w:firstRowFirstColumn="0" w:firstRowLastColumn="0" w:lastRowFirstColumn="0" w:lastRowLastColumn="0"/>
              <w:rPr>
                <w:rFonts w:cstheme="minorHAnsi"/>
                <w:color w:val="00B050"/>
              </w:rPr>
            </w:pPr>
            <w:r>
              <w:rPr>
                <w:rFonts w:cstheme="minorHAnsi"/>
                <w:color w:val="00B050"/>
              </w:rPr>
              <w:t>25</w:t>
            </w:r>
            <w:r w:rsidR="00873694">
              <w:rPr>
                <w:rFonts w:cstheme="minorHAnsi"/>
                <w:color w:val="00B050"/>
              </w:rPr>
              <w:t xml:space="preserve"> maart </w:t>
            </w:r>
            <w:r>
              <w:rPr>
                <w:rFonts w:cstheme="minorHAnsi"/>
                <w:color w:val="00B050"/>
              </w:rPr>
              <w:t>2026</w:t>
            </w:r>
          </w:p>
        </w:tc>
      </w:tr>
      <w:tr w:rsidR="00E87021" w:rsidRPr="00805A7B" w14:paraId="38B06D8A" w14:textId="77777777" w:rsidTr="008E4BA8">
        <w:tc>
          <w:tcPr>
            <w:cnfStyle w:val="001000000000" w:firstRow="0" w:lastRow="0" w:firstColumn="1" w:lastColumn="0" w:oddVBand="0" w:evenVBand="0" w:oddHBand="0" w:evenHBand="0" w:firstRowFirstColumn="0" w:firstRowLastColumn="0" w:lastRowFirstColumn="0" w:lastRowLastColumn="0"/>
            <w:tcW w:w="3510" w:type="dxa"/>
          </w:tcPr>
          <w:p w14:paraId="39153A05" w14:textId="77777777" w:rsidR="00E87021" w:rsidRPr="00BD1B71" w:rsidRDefault="00E87021" w:rsidP="00E87021">
            <w:pPr>
              <w:spacing w:after="120"/>
              <w:rPr>
                <w:rFonts w:cstheme="minorHAnsi"/>
              </w:rPr>
            </w:pPr>
            <w:r>
              <w:rPr>
                <w:rFonts w:cstheme="minorHAnsi"/>
              </w:rPr>
              <w:t xml:space="preserve">Datum indienen </w:t>
            </w:r>
            <w:r w:rsidR="008E4BA8">
              <w:rPr>
                <w:rFonts w:cstheme="minorHAnsi"/>
              </w:rPr>
              <w:t>vraag/</w:t>
            </w:r>
            <w:r>
              <w:rPr>
                <w:rFonts w:cstheme="minorHAnsi"/>
              </w:rPr>
              <w:t xml:space="preserve">vragen: </w:t>
            </w:r>
          </w:p>
        </w:tc>
        <w:tc>
          <w:tcPr>
            <w:tcW w:w="5670" w:type="dxa"/>
          </w:tcPr>
          <w:p w14:paraId="7E5FB505" w14:textId="1E19DBE7" w:rsidR="00E87021" w:rsidRPr="00805A7B" w:rsidRDefault="00873694" w:rsidP="00E87021">
            <w:pPr>
              <w:spacing w:after="120"/>
              <w:cnfStyle w:val="000000000000" w:firstRow="0" w:lastRow="0" w:firstColumn="0" w:lastColumn="0" w:oddVBand="0" w:evenVBand="0" w:oddHBand="0" w:evenHBand="0" w:firstRowFirstColumn="0" w:firstRowLastColumn="0" w:lastRowFirstColumn="0" w:lastRowLastColumn="0"/>
              <w:rPr>
                <w:rFonts w:cstheme="minorHAnsi"/>
                <w:color w:val="00B050"/>
              </w:rPr>
            </w:pPr>
            <w:r>
              <w:rPr>
                <w:rFonts w:cstheme="minorHAnsi"/>
                <w:color w:val="00B050"/>
              </w:rPr>
              <w:t>24 februari 2026</w:t>
            </w:r>
          </w:p>
        </w:tc>
      </w:tr>
      <w:tr w:rsidR="00E87021" w:rsidRPr="00805A7B" w14:paraId="7E4F9DDE" w14:textId="77777777" w:rsidTr="008E4BA8">
        <w:tc>
          <w:tcPr>
            <w:cnfStyle w:val="001000000000" w:firstRow="0" w:lastRow="0" w:firstColumn="1" w:lastColumn="0" w:oddVBand="0" w:evenVBand="0" w:oddHBand="0" w:evenHBand="0" w:firstRowFirstColumn="0" w:firstRowLastColumn="0" w:lastRowFirstColumn="0" w:lastRowLastColumn="0"/>
            <w:tcW w:w="3510" w:type="dxa"/>
          </w:tcPr>
          <w:p w14:paraId="63671030" w14:textId="77777777" w:rsidR="00E87021" w:rsidRPr="00BD1B71" w:rsidRDefault="00E87021" w:rsidP="00E87021">
            <w:pPr>
              <w:spacing w:after="120"/>
              <w:rPr>
                <w:rFonts w:cstheme="minorHAnsi"/>
              </w:rPr>
            </w:pPr>
            <w:r w:rsidRPr="00BD1B71">
              <w:rPr>
                <w:rFonts w:cstheme="minorHAnsi"/>
              </w:rPr>
              <w:t>Vragensteller:</w:t>
            </w:r>
          </w:p>
        </w:tc>
        <w:tc>
          <w:tcPr>
            <w:tcW w:w="5670" w:type="dxa"/>
          </w:tcPr>
          <w:p w14:paraId="03E4DF1A" w14:textId="3EDCFE4D" w:rsidR="00E87021" w:rsidRPr="00805A7B" w:rsidRDefault="00873694" w:rsidP="00E87021">
            <w:pPr>
              <w:spacing w:after="120"/>
              <w:cnfStyle w:val="000000000000" w:firstRow="0" w:lastRow="0" w:firstColumn="0" w:lastColumn="0" w:oddVBand="0" w:evenVBand="0" w:oddHBand="0" w:evenHBand="0" w:firstRowFirstColumn="0" w:firstRowLastColumn="0" w:lastRowFirstColumn="0" w:lastRowLastColumn="0"/>
              <w:rPr>
                <w:rFonts w:cstheme="minorHAnsi"/>
                <w:color w:val="00B050"/>
              </w:rPr>
            </w:pPr>
            <w:r>
              <w:rPr>
                <w:rFonts w:cstheme="minorHAnsi"/>
                <w:color w:val="00B050"/>
              </w:rPr>
              <w:t xml:space="preserve">Marjan Stel </w:t>
            </w:r>
          </w:p>
        </w:tc>
      </w:tr>
      <w:tr w:rsidR="00E87021" w:rsidRPr="00805A7B" w14:paraId="68CFCC7B" w14:textId="77777777" w:rsidTr="008E4BA8">
        <w:tc>
          <w:tcPr>
            <w:cnfStyle w:val="001000000000" w:firstRow="0" w:lastRow="0" w:firstColumn="1" w:lastColumn="0" w:oddVBand="0" w:evenVBand="0" w:oddHBand="0" w:evenHBand="0" w:firstRowFirstColumn="0" w:firstRowLastColumn="0" w:lastRowFirstColumn="0" w:lastRowLastColumn="0"/>
            <w:tcW w:w="3510" w:type="dxa"/>
          </w:tcPr>
          <w:p w14:paraId="4F683B0B" w14:textId="77777777" w:rsidR="00E87021" w:rsidRPr="00BD1B71" w:rsidRDefault="00E87021" w:rsidP="00E87021">
            <w:pPr>
              <w:spacing w:after="120"/>
              <w:rPr>
                <w:rFonts w:cstheme="minorHAnsi"/>
              </w:rPr>
            </w:pPr>
            <w:r w:rsidRPr="00BD1B71">
              <w:rPr>
                <w:rFonts w:cstheme="minorHAnsi"/>
              </w:rPr>
              <w:t>Fractie:</w:t>
            </w:r>
          </w:p>
        </w:tc>
        <w:tc>
          <w:tcPr>
            <w:tcW w:w="5670" w:type="dxa"/>
          </w:tcPr>
          <w:p w14:paraId="6CADF653" w14:textId="51C3092A" w:rsidR="00E87021" w:rsidRPr="00805A7B" w:rsidRDefault="00873694" w:rsidP="00E87021">
            <w:pPr>
              <w:spacing w:after="120"/>
              <w:cnfStyle w:val="000000000000" w:firstRow="0" w:lastRow="0" w:firstColumn="0" w:lastColumn="0" w:oddVBand="0" w:evenVBand="0" w:oddHBand="0" w:evenHBand="0" w:firstRowFirstColumn="0" w:firstRowLastColumn="0" w:lastRowFirstColumn="0" w:lastRowLastColumn="0"/>
              <w:rPr>
                <w:rFonts w:cstheme="minorHAnsi"/>
                <w:color w:val="00B050"/>
              </w:rPr>
            </w:pPr>
            <w:r>
              <w:rPr>
                <w:rFonts w:cstheme="minorHAnsi"/>
                <w:color w:val="00B050"/>
              </w:rPr>
              <w:t xml:space="preserve">GemeenteBelangen Het Hogeland </w:t>
            </w:r>
          </w:p>
        </w:tc>
      </w:tr>
    </w:tbl>
    <w:p w14:paraId="06E46E1E" w14:textId="77777777" w:rsidR="005E215E" w:rsidRDefault="005E215E" w:rsidP="005E215E">
      <w:pPr>
        <w:spacing w:after="0"/>
        <w:rPr>
          <w:b/>
          <w:sz w:val="24"/>
          <w:szCs w:val="24"/>
          <w:u w:val="single"/>
        </w:rPr>
      </w:pPr>
    </w:p>
    <w:p w14:paraId="046129CD" w14:textId="77777777" w:rsidR="009E1D78" w:rsidRDefault="009E1D78" w:rsidP="00421C74">
      <w:pPr>
        <w:spacing w:after="120"/>
        <w:rPr>
          <w:b/>
          <w:sz w:val="24"/>
          <w:szCs w:val="24"/>
          <w:u w:val="single"/>
        </w:rPr>
      </w:pPr>
    </w:p>
    <w:p w14:paraId="1E8D5A18" w14:textId="77777777" w:rsidR="005E215E" w:rsidRPr="00EF5594" w:rsidRDefault="005E215E" w:rsidP="009E1D78">
      <w:pPr>
        <w:spacing w:after="240"/>
        <w:rPr>
          <w:b/>
          <w:u w:val="single"/>
        </w:rPr>
      </w:pPr>
      <w:r w:rsidRPr="00EF5594">
        <w:rPr>
          <w:b/>
          <w:u w:val="single"/>
        </w:rPr>
        <w:t>Aan de gemeenteraad</w:t>
      </w:r>
    </w:p>
    <w:p w14:paraId="4BF2F72B" w14:textId="77777777" w:rsidR="003E27B5" w:rsidRDefault="00D473C2" w:rsidP="00421C74">
      <w:pPr>
        <w:rPr>
          <w:sz w:val="20"/>
          <w:szCs w:val="20"/>
        </w:rPr>
      </w:pPr>
      <w:r>
        <w:rPr>
          <w:sz w:val="20"/>
          <w:szCs w:val="20"/>
        </w:rPr>
        <w:t>De n</w:t>
      </w:r>
      <w:r w:rsidR="005E215E" w:rsidRPr="00BD1B71">
        <w:rPr>
          <w:sz w:val="20"/>
          <w:szCs w:val="20"/>
        </w:rPr>
        <w:t xml:space="preserve">amens bovengenoemde fractie </w:t>
      </w:r>
      <w:r>
        <w:rPr>
          <w:sz w:val="20"/>
          <w:szCs w:val="20"/>
        </w:rPr>
        <w:t>o</w:t>
      </w:r>
      <w:r w:rsidR="005E215E" w:rsidRPr="00BD1B71">
        <w:rPr>
          <w:sz w:val="20"/>
          <w:szCs w:val="20"/>
        </w:rPr>
        <w:t xml:space="preserve">p grond van het reglement van orde van de gemeenteraad </w:t>
      </w:r>
      <w:r>
        <w:rPr>
          <w:sz w:val="20"/>
          <w:szCs w:val="20"/>
        </w:rPr>
        <w:t>gestelde vraag/vragen betreffend bovenvermeld onderwerp beantwoorden wij als volgt.</w:t>
      </w:r>
      <w:r w:rsidR="00873694">
        <w:rPr>
          <w:sz w:val="20"/>
          <w:szCs w:val="20"/>
        </w:rPr>
        <w:t xml:space="preserve"> </w:t>
      </w:r>
    </w:p>
    <w:p w14:paraId="5967F954" w14:textId="5A2CD0F3" w:rsidR="005E215E" w:rsidRDefault="00873694" w:rsidP="005E215E">
      <w:pPr>
        <w:rPr>
          <w:sz w:val="20"/>
          <w:szCs w:val="20"/>
        </w:rPr>
      </w:pPr>
      <w:r>
        <w:rPr>
          <w:sz w:val="20"/>
          <w:szCs w:val="20"/>
        </w:rPr>
        <w:t xml:space="preserve">Het college </w:t>
      </w:r>
      <w:r w:rsidR="001D5FF8">
        <w:rPr>
          <w:sz w:val="20"/>
          <w:szCs w:val="20"/>
        </w:rPr>
        <w:t>excuseert</w:t>
      </w:r>
      <w:r w:rsidR="008A23CA">
        <w:rPr>
          <w:sz w:val="20"/>
          <w:szCs w:val="20"/>
        </w:rPr>
        <w:t xml:space="preserve"> zich voor de uitgebreide beantwoording van de schriftelijke vragen. </w:t>
      </w:r>
      <w:r w:rsidR="003E27B5">
        <w:rPr>
          <w:sz w:val="20"/>
          <w:szCs w:val="20"/>
        </w:rPr>
        <w:t>Echter is één antwoord gedicht op de drie schriftelijke vragen gesteld door de bovengenoemde fractie</w:t>
      </w:r>
      <w:r w:rsidR="00AE1226">
        <w:rPr>
          <w:sz w:val="20"/>
          <w:szCs w:val="20"/>
        </w:rPr>
        <w:t xml:space="preserve"> en vindt dat het opknippen van de antwoorden geen recht doet aan de beantwoording van de schriftelijke vragen. </w:t>
      </w:r>
    </w:p>
    <w:p w14:paraId="04D4E116" w14:textId="77777777" w:rsidR="00D473C2" w:rsidRPr="0010523C" w:rsidRDefault="00D473C2" w:rsidP="005E215E">
      <w:pPr>
        <w:rPr>
          <w:b/>
          <w:sz w:val="20"/>
          <w:szCs w:val="20"/>
          <w:u w:val="single"/>
        </w:rPr>
      </w:pPr>
      <w:r w:rsidRPr="0010523C">
        <w:rPr>
          <w:b/>
          <w:sz w:val="20"/>
          <w:szCs w:val="20"/>
          <w:u w:val="single"/>
        </w:rPr>
        <w:t>Vraag</w:t>
      </w:r>
      <w:r w:rsidR="00414281" w:rsidRPr="0010523C">
        <w:rPr>
          <w:b/>
          <w:sz w:val="20"/>
          <w:szCs w:val="20"/>
          <w:u w:val="single"/>
        </w:rPr>
        <w:t xml:space="preserve"> 1</w:t>
      </w:r>
    </w:p>
    <w:p w14:paraId="7C309240" w14:textId="626C2D69" w:rsidR="00414281" w:rsidRPr="0092098A" w:rsidRDefault="0071153E" w:rsidP="005E215E">
      <w:pPr>
        <w:rPr>
          <w:b/>
          <w:sz w:val="20"/>
          <w:szCs w:val="20"/>
        </w:rPr>
      </w:pPr>
      <w:r w:rsidRPr="0071153E">
        <w:rPr>
          <w:sz w:val="20"/>
          <w:szCs w:val="20"/>
        </w:rPr>
        <w:t>Bent u bekend met de het platform groningenhuurt.nl en de geschetste problematiek?</w:t>
      </w:r>
    </w:p>
    <w:p w14:paraId="6E67A02D" w14:textId="77777777" w:rsidR="00414281" w:rsidRPr="0010523C" w:rsidRDefault="00414281" w:rsidP="005E215E">
      <w:pPr>
        <w:rPr>
          <w:b/>
          <w:sz w:val="20"/>
          <w:szCs w:val="20"/>
          <w:u w:val="single"/>
        </w:rPr>
      </w:pPr>
      <w:r w:rsidRPr="0010523C">
        <w:rPr>
          <w:b/>
          <w:sz w:val="20"/>
          <w:szCs w:val="20"/>
          <w:u w:val="single"/>
        </w:rPr>
        <w:t xml:space="preserve">Vraag 2 </w:t>
      </w:r>
    </w:p>
    <w:p w14:paraId="207EEAAC" w14:textId="1363BA05" w:rsidR="005E215E" w:rsidRPr="0092098A" w:rsidRDefault="0071153E" w:rsidP="0092098A">
      <w:pPr>
        <w:spacing w:after="0"/>
        <w:rPr>
          <w:sz w:val="20"/>
          <w:szCs w:val="20"/>
        </w:rPr>
      </w:pPr>
      <w:r w:rsidRPr="0071153E">
        <w:rPr>
          <w:sz w:val="20"/>
          <w:szCs w:val="20"/>
        </w:rPr>
        <w:t>GemeenteBelangen heeft eerder al op dit probleem gewezen. Zijn er concrete maatregelen</w:t>
      </w:r>
      <w:r w:rsidR="001D5FF8">
        <w:rPr>
          <w:sz w:val="20"/>
          <w:szCs w:val="20"/>
        </w:rPr>
        <w:t xml:space="preserve"> </w:t>
      </w:r>
      <w:r w:rsidRPr="0071153E">
        <w:rPr>
          <w:sz w:val="20"/>
          <w:szCs w:val="20"/>
        </w:rPr>
        <w:t>te bedenken om dit probleem tegen te gaan en is het college bereid deze te nemen om</w:t>
      </w:r>
      <w:r w:rsidR="001D5FF8">
        <w:rPr>
          <w:sz w:val="20"/>
          <w:szCs w:val="20"/>
        </w:rPr>
        <w:t xml:space="preserve"> </w:t>
      </w:r>
      <w:r w:rsidRPr="0071153E">
        <w:rPr>
          <w:sz w:val="20"/>
          <w:szCs w:val="20"/>
        </w:rPr>
        <w:t>ervoor te zorgen dat onze eigen inwoners een reële kans houden om in de eigen gemeente</w:t>
      </w:r>
      <w:r w:rsidR="001D5FF8">
        <w:rPr>
          <w:sz w:val="20"/>
          <w:szCs w:val="20"/>
        </w:rPr>
        <w:t xml:space="preserve"> </w:t>
      </w:r>
      <w:r w:rsidRPr="0071153E">
        <w:rPr>
          <w:sz w:val="20"/>
          <w:szCs w:val="20"/>
        </w:rPr>
        <w:t>een woning te bemachtigen?</w:t>
      </w:r>
      <w:r w:rsidR="0092098A">
        <w:rPr>
          <w:sz w:val="20"/>
          <w:szCs w:val="20"/>
        </w:rPr>
        <w:br/>
      </w:r>
    </w:p>
    <w:p w14:paraId="61AD30B9" w14:textId="0CED8E2E" w:rsidR="0071153E" w:rsidRPr="0092098A" w:rsidRDefault="0071153E" w:rsidP="005E215E">
      <w:pPr>
        <w:rPr>
          <w:b/>
          <w:sz w:val="20"/>
          <w:szCs w:val="20"/>
          <w:u w:val="single"/>
        </w:rPr>
      </w:pPr>
      <w:r w:rsidRPr="0092098A">
        <w:rPr>
          <w:b/>
          <w:sz w:val="20"/>
          <w:szCs w:val="20"/>
          <w:u w:val="single"/>
        </w:rPr>
        <w:t>Vraag 3</w:t>
      </w:r>
    </w:p>
    <w:p w14:paraId="60BA3EF9" w14:textId="3281A1FA" w:rsidR="0071153E" w:rsidRPr="0092098A" w:rsidRDefault="0071153E" w:rsidP="0071153E">
      <w:pPr>
        <w:rPr>
          <w:sz w:val="20"/>
          <w:szCs w:val="20"/>
        </w:rPr>
      </w:pPr>
      <w:r w:rsidRPr="0092098A">
        <w:rPr>
          <w:sz w:val="20"/>
          <w:szCs w:val="20"/>
        </w:rPr>
        <w:t>Is er provinciaal ook een evaluatiemoment gepland om te toetsen of het platform voldoet</w:t>
      </w:r>
      <w:r w:rsidR="0092098A">
        <w:rPr>
          <w:sz w:val="20"/>
          <w:szCs w:val="20"/>
        </w:rPr>
        <w:t xml:space="preserve"> </w:t>
      </w:r>
      <w:r w:rsidRPr="0092098A">
        <w:rPr>
          <w:sz w:val="20"/>
          <w:szCs w:val="20"/>
        </w:rPr>
        <w:t>aan de verwachtingen? Zo ja, wanneer is deze gepland?</w:t>
      </w:r>
    </w:p>
    <w:p w14:paraId="7A611FD9" w14:textId="7ED48058" w:rsidR="005E215E" w:rsidRPr="00715E19" w:rsidRDefault="00715E19" w:rsidP="005E215E">
      <w:pPr>
        <w:rPr>
          <w:b/>
          <w:sz w:val="20"/>
          <w:szCs w:val="20"/>
          <w:u w:val="single"/>
        </w:rPr>
      </w:pPr>
      <w:r w:rsidRPr="00715E19">
        <w:rPr>
          <w:b/>
          <w:sz w:val="20"/>
          <w:szCs w:val="20"/>
          <w:u w:val="single"/>
        </w:rPr>
        <w:t xml:space="preserve">Beantwoording </w:t>
      </w:r>
    </w:p>
    <w:p w14:paraId="7E693EFD" w14:textId="77777777" w:rsidR="00A46E47" w:rsidRPr="00A46E47" w:rsidRDefault="00A46E47" w:rsidP="00A46E47">
      <w:pPr>
        <w:rPr>
          <w:sz w:val="20"/>
          <w:szCs w:val="20"/>
        </w:rPr>
      </w:pPr>
      <w:r w:rsidRPr="00A46E47">
        <w:rPr>
          <w:sz w:val="20"/>
          <w:szCs w:val="20"/>
        </w:rPr>
        <w:t xml:space="preserve">Het college heeft kennisgenomen van de schriftelijke raadsvragen van Gemeente Belangen met betrekking tot signalen over het platform Groningen Huurt. Dit platform, dat sinds november 2025 in gebruik is, wordt ingezet voor de toewijzing van sociale huurwoningen in de provincie. Het doel van </w:t>
      </w:r>
      <w:r w:rsidRPr="00A46E47">
        <w:rPr>
          <w:sz w:val="20"/>
          <w:szCs w:val="20"/>
        </w:rPr>
        <w:lastRenderedPageBreak/>
        <w:t>Groningen Huurt is om het woningaanbod transparanter en toegankelijker te maken voor alle woningzoekenden in de regio. Er zijn echter zorgen geuit dat inwoners van onze gemeente lager op de ranglijst komen te staan voor woningen, terwijl woningzoekenden van buiten de gemeente blijkbaar voorrang zouden krijgen.</w:t>
      </w:r>
    </w:p>
    <w:p w14:paraId="26A27C67" w14:textId="77777777" w:rsidR="00A46E47" w:rsidRPr="00A46E47" w:rsidRDefault="00A46E47" w:rsidP="00A46E47">
      <w:pPr>
        <w:rPr>
          <w:rFonts w:cs="Calibri"/>
          <w:b/>
          <w:bCs/>
          <w:sz w:val="20"/>
          <w:szCs w:val="20"/>
        </w:rPr>
      </w:pPr>
      <w:r w:rsidRPr="00A46E47">
        <w:rPr>
          <w:rFonts w:cs="Calibri"/>
          <w:b/>
          <w:bCs/>
          <w:sz w:val="20"/>
          <w:szCs w:val="20"/>
        </w:rPr>
        <w:t>Huidige situatie en fluctuaties</w:t>
      </w:r>
    </w:p>
    <w:p w14:paraId="428B4513" w14:textId="77777777" w:rsidR="00A46E47" w:rsidRPr="00A46E47" w:rsidRDefault="00A46E47" w:rsidP="00A46E47">
      <w:pPr>
        <w:rPr>
          <w:rFonts w:cs="Calibri"/>
          <w:sz w:val="20"/>
          <w:szCs w:val="20"/>
        </w:rPr>
      </w:pPr>
      <w:r w:rsidRPr="00A46E47">
        <w:rPr>
          <w:rFonts w:cs="Calibri"/>
          <w:sz w:val="20"/>
          <w:szCs w:val="20"/>
        </w:rPr>
        <w:t>Het college erkent de signalen die hierover zijn geuit. Deze kunnen worden ervaren omdat het nu meer zichtbaar is en er meer reacties zijn van woningzoekenden. Voor de invoering van Groningen Huurt zagen we dat in een vergelijkbare periode 60 procent van de toewijzingen naar woningzoekenden uit Het Hogeland ging. Sinds de invoering van Groningen Huurt is dit percentage gedaald naar 50 procent van de toewijzingen aan woningzoekenden uit Het Hogeland.</w:t>
      </w:r>
    </w:p>
    <w:p w14:paraId="73E5B294" w14:textId="77777777" w:rsidR="00A46E47" w:rsidRPr="00A46E47" w:rsidRDefault="00A46E47" w:rsidP="00A46E47">
      <w:pPr>
        <w:rPr>
          <w:rFonts w:cs="Calibri"/>
          <w:sz w:val="20"/>
          <w:szCs w:val="20"/>
        </w:rPr>
      </w:pPr>
      <w:r w:rsidRPr="00A46E47">
        <w:rPr>
          <w:rFonts w:cs="Calibri"/>
          <w:sz w:val="20"/>
          <w:szCs w:val="20"/>
        </w:rPr>
        <w:t>Daarnaast is op basis van de data van november tot januari te zien dat in twee gemeenten, Westerkwartier en Het Hogeland, er meer mensen van buiten de gemeente (met name vanuit Groningen) een woning hebben toegewezen gekregen dan in de overige gemeenten. Dit zegt echter nog weinig over een trend, aangezien de periode te kort is. Navraag bij Thuiskompas, het Groningen Huurt van de provincie Drenthe, leert dat dit in het begin ook zo was bij Thuiskompas, maar dat dit later weer afnam.</w:t>
      </w:r>
    </w:p>
    <w:p w14:paraId="4E00DF4F" w14:textId="77777777" w:rsidR="00A46E47" w:rsidRPr="00A46E47" w:rsidRDefault="00A46E47" w:rsidP="00A46E47">
      <w:pPr>
        <w:rPr>
          <w:rFonts w:cs="Calibri"/>
          <w:b/>
          <w:bCs/>
          <w:sz w:val="20"/>
          <w:szCs w:val="20"/>
        </w:rPr>
      </w:pPr>
      <w:r w:rsidRPr="00A46E47">
        <w:rPr>
          <w:rFonts w:cs="Calibri"/>
          <w:b/>
          <w:bCs/>
          <w:sz w:val="20"/>
          <w:szCs w:val="20"/>
        </w:rPr>
        <w:t>Beginfase van het platform</w:t>
      </w:r>
    </w:p>
    <w:p w14:paraId="1283CA2B" w14:textId="77777777" w:rsidR="00A46E47" w:rsidRPr="00A46E47" w:rsidRDefault="00A46E47" w:rsidP="00A46E47">
      <w:pPr>
        <w:rPr>
          <w:rFonts w:cs="Calibri"/>
          <w:sz w:val="20"/>
          <w:szCs w:val="20"/>
        </w:rPr>
      </w:pPr>
      <w:r w:rsidRPr="00A46E47">
        <w:rPr>
          <w:rFonts w:cs="Calibri"/>
          <w:sz w:val="20"/>
          <w:szCs w:val="20"/>
        </w:rPr>
        <w:t>Het is belangrijk te benadrukken dat het platform Groningen Huurt nog in de beginfase verkeert. De huidige fluctuaties in ranglijstposities kunnen mogelijk het gevolg zijn van de introductie van een breder woningaanbod, wat in de beginperiode kan leiden tot grotere ranglijsten en meer concurrentie, met als gevolg langere wachttijden voor beschikbare woningen. Aangezien het platform nog maar kort in gebruik is, is het belangrijk om het effect over een langere periode te volgen voordat we definitieve conclusies trekken.</w:t>
      </w:r>
    </w:p>
    <w:p w14:paraId="64EF9FBF" w14:textId="77777777" w:rsidR="00A46E47" w:rsidRPr="00A46E47" w:rsidRDefault="00A46E47" w:rsidP="00A46E47">
      <w:pPr>
        <w:rPr>
          <w:rFonts w:cs="Calibri"/>
          <w:b/>
          <w:bCs/>
          <w:sz w:val="20"/>
          <w:szCs w:val="20"/>
        </w:rPr>
      </w:pPr>
      <w:r w:rsidRPr="00A46E47">
        <w:rPr>
          <w:rFonts w:cs="Calibri"/>
          <w:b/>
          <w:bCs/>
          <w:sz w:val="20"/>
          <w:szCs w:val="20"/>
        </w:rPr>
        <w:t>Evaluatie van het platform</w:t>
      </w:r>
    </w:p>
    <w:p w14:paraId="616B182F" w14:textId="77777777" w:rsidR="00A46E47" w:rsidRDefault="00A46E47" w:rsidP="00A46E47">
      <w:pPr>
        <w:rPr>
          <w:rFonts w:cs="Calibri"/>
          <w:b/>
          <w:bCs/>
          <w:sz w:val="20"/>
          <w:szCs w:val="20"/>
        </w:rPr>
      </w:pPr>
      <w:r w:rsidRPr="00A46E47">
        <w:rPr>
          <w:rFonts w:cs="Calibri"/>
          <w:sz w:val="20"/>
          <w:szCs w:val="20"/>
        </w:rPr>
        <w:t xml:space="preserve">Het college is van mening dat de provinciale evaluatie van het platform Groningen Huurt van groot belang is om te toetsen of het systeem voldoet aan de verwachtingen. Op 2 juni zal er in de G13 een eerste evaluatie op bestuurlijk en dus provinciaal niveau plaatsvinden op basis van de kwalitatieve en kwantitatieve data die dan beschikbaar is. Tijdens de evaluatie zal gekeken worden of het platform in de praktijk inderdaad de gewenste voordelen biedt, zoals meer transparantie en een efficiëntere woningtoewijzing maar ook wat de gevolgen zijn van wachttijden voor woningen in de stad en ommeland. </w:t>
      </w:r>
    </w:p>
    <w:p w14:paraId="331479CD" w14:textId="648B9AAA" w:rsidR="00A46E47" w:rsidRPr="00A46E47" w:rsidRDefault="00A46E47" w:rsidP="00A46E47">
      <w:pPr>
        <w:rPr>
          <w:rFonts w:cs="Calibri"/>
          <w:sz w:val="20"/>
          <w:szCs w:val="20"/>
        </w:rPr>
      </w:pPr>
      <w:r w:rsidRPr="00A46E47">
        <w:rPr>
          <w:rFonts w:cs="Calibri"/>
          <w:b/>
          <w:bCs/>
          <w:sz w:val="20"/>
          <w:szCs w:val="20"/>
        </w:rPr>
        <w:t>Huisvesti</w:t>
      </w:r>
      <w:r>
        <w:rPr>
          <w:rFonts w:cs="Calibri"/>
          <w:b/>
          <w:bCs/>
          <w:sz w:val="20"/>
          <w:szCs w:val="20"/>
        </w:rPr>
        <w:t>n</w:t>
      </w:r>
      <w:r w:rsidRPr="00A46E47">
        <w:rPr>
          <w:rFonts w:cs="Calibri"/>
          <w:b/>
          <w:bCs/>
          <w:sz w:val="20"/>
          <w:szCs w:val="20"/>
        </w:rPr>
        <w:t>gsverordening en urgentieregeling</w:t>
      </w:r>
    </w:p>
    <w:p w14:paraId="33917195" w14:textId="77777777" w:rsidR="00A46E47" w:rsidRPr="00A46E47" w:rsidRDefault="00A46E47" w:rsidP="00A46E47">
      <w:pPr>
        <w:rPr>
          <w:rFonts w:cs="Calibri"/>
          <w:sz w:val="20"/>
          <w:szCs w:val="20"/>
        </w:rPr>
      </w:pPr>
      <w:r w:rsidRPr="00A46E47">
        <w:rPr>
          <w:rFonts w:cs="Calibri"/>
          <w:sz w:val="20"/>
          <w:szCs w:val="20"/>
        </w:rPr>
        <w:t>De tien Groninger gemeenten werken gezamenlijk aan een nieuwe huisvestingsverordening met urgentieregeling. Daarbij is het van belang te benadrukken dat de gemeenteraad weliswaar de bevoegdheid heeft om naast de wettelijke urgentiecategorieën aanvullende urgente of voorrangsgroepen aan te wijzen, maar dat deze bevoegdheid wordt begrensd door de Wet versterking regie volkshuisvesting.</w:t>
      </w:r>
    </w:p>
    <w:p w14:paraId="6DBF3F3D" w14:textId="77777777" w:rsidR="00A46E47" w:rsidRPr="00A46E47" w:rsidRDefault="00A46E47" w:rsidP="00A46E47">
      <w:pPr>
        <w:rPr>
          <w:rFonts w:cs="Calibri"/>
          <w:sz w:val="20"/>
          <w:szCs w:val="20"/>
        </w:rPr>
      </w:pPr>
      <w:r w:rsidRPr="00A46E47">
        <w:rPr>
          <w:rFonts w:cs="Calibri"/>
          <w:sz w:val="20"/>
          <w:szCs w:val="20"/>
        </w:rPr>
        <w:t>Op grond van deze wet mogen gemeenten bij urgentie uitsluitend voorrang geven aan woningzoekenden die economisch of maatschappelijk gebonden zijn aan de woningmarktregio. Dit betekent dat voorrang niet mag worden beperkt tot inwoners van de eigen gemeente. Lokale voorrang (“eigen inwoners eerst”) is juridisch niet toegestaan.</w:t>
      </w:r>
    </w:p>
    <w:p w14:paraId="5CE9E665" w14:textId="77777777" w:rsidR="00A46E47" w:rsidRPr="00A46E47" w:rsidRDefault="00A46E47" w:rsidP="00A46E47">
      <w:pPr>
        <w:rPr>
          <w:rFonts w:cs="Calibri"/>
          <w:sz w:val="20"/>
          <w:szCs w:val="20"/>
        </w:rPr>
      </w:pPr>
      <w:r w:rsidRPr="00A46E47">
        <w:rPr>
          <w:rFonts w:cs="Calibri"/>
          <w:sz w:val="20"/>
          <w:szCs w:val="20"/>
        </w:rPr>
        <w:t xml:space="preserve">Daarnaast heeft het aanwijzen van extra urgente of voorrangsgroepen directe gevolgen voor de reguliere woningzoekenden. Hoe meer groepen voorrang krijgen, hoe kleiner het deel van de sociale huurvoorraad dat beschikbaar blijft voor woningzoekenden zonder urgentie. Dit leidt onvermijdelijk tot </w:t>
      </w:r>
      <w:r w:rsidRPr="00A46E47">
        <w:rPr>
          <w:rFonts w:cs="Calibri"/>
          <w:sz w:val="20"/>
          <w:szCs w:val="20"/>
        </w:rPr>
        <w:lastRenderedPageBreak/>
        <w:t>langere wachttijden en verminderde kansen voor deze groep. Het is daarom van belang om terughoudend en zorgvuldig om te gaan met het aanwijzen van aanvullende voorrangsgroepen en dit regionaal af te stemmen.</w:t>
      </w:r>
    </w:p>
    <w:p w14:paraId="14388570" w14:textId="77777777" w:rsidR="00A46E47" w:rsidRPr="00A46E47" w:rsidRDefault="00A46E47" w:rsidP="00A46E47">
      <w:pPr>
        <w:rPr>
          <w:rFonts w:cs="Calibri"/>
          <w:b/>
          <w:bCs/>
          <w:sz w:val="20"/>
          <w:szCs w:val="20"/>
        </w:rPr>
      </w:pPr>
      <w:r w:rsidRPr="00A46E47">
        <w:rPr>
          <w:rFonts w:cs="Calibri"/>
          <w:b/>
          <w:bCs/>
          <w:sz w:val="20"/>
          <w:szCs w:val="20"/>
        </w:rPr>
        <w:t>Verwachtingen rond de Wet versterking regie volkshuisvesting</w:t>
      </w:r>
    </w:p>
    <w:p w14:paraId="5763DDDF" w14:textId="77777777" w:rsidR="00A46E47" w:rsidRPr="00A46E47" w:rsidRDefault="00A46E47" w:rsidP="00A46E47">
      <w:pPr>
        <w:rPr>
          <w:rFonts w:cs="Calibri"/>
          <w:sz w:val="20"/>
          <w:szCs w:val="20"/>
        </w:rPr>
      </w:pPr>
      <w:r w:rsidRPr="00A46E47">
        <w:rPr>
          <w:rFonts w:cs="Calibri"/>
          <w:sz w:val="20"/>
          <w:szCs w:val="20"/>
        </w:rPr>
        <w:t>Deze huisvestingsverordening, inclusief de urgentieregeling, wordt opgesteld naar aanleiding van de nog vast te stellen Wet versterking regie volkshuisvesting. De verwachting is dat deze wet op 1 juli 2026 wordt bekrachtigd, waarna de provincie en gemeenten een periode krijgen om deze wet te implementeren. Dit betekent dat we verwachten dat de provinciale huisvestingsverordening met urgentieregeling op zijn vroegst per 1 juli 2027 in werking treedt.</w:t>
      </w:r>
    </w:p>
    <w:p w14:paraId="2D439917" w14:textId="77777777" w:rsidR="00A46E47" w:rsidRPr="00A46E47" w:rsidRDefault="00A46E47" w:rsidP="00A46E47">
      <w:pPr>
        <w:rPr>
          <w:rFonts w:cs="Calibri"/>
          <w:sz w:val="20"/>
          <w:szCs w:val="20"/>
        </w:rPr>
      </w:pPr>
      <w:r w:rsidRPr="00A46E47">
        <w:rPr>
          <w:rFonts w:cs="Calibri"/>
          <w:b/>
          <w:bCs/>
          <w:sz w:val="20"/>
          <w:szCs w:val="20"/>
        </w:rPr>
        <w:t>Conclusie</w:t>
      </w:r>
    </w:p>
    <w:p w14:paraId="3C4C2A17" w14:textId="51DC1DDF" w:rsidR="00CF714E" w:rsidRPr="003159FF" w:rsidRDefault="00A46E47" w:rsidP="005E215E">
      <w:pPr>
        <w:rPr>
          <w:rFonts w:cs="Calibri"/>
          <w:sz w:val="20"/>
          <w:szCs w:val="20"/>
        </w:rPr>
      </w:pPr>
      <w:r w:rsidRPr="00A46E47">
        <w:rPr>
          <w:rFonts w:cs="Calibri"/>
          <w:sz w:val="20"/>
          <w:szCs w:val="20"/>
        </w:rPr>
        <w:t>Het college blijft de ontwikkelingen rondom het platform Groningen Huurt nauwlettend volgen en zal de raad blijven informeren over de voortgang van de provinciale evaluatie. Tegelijkertijd wordt er gewerkt aan de huisvestingsverordening, waarbij de raad de bevoegdheid heeft om voorrangsgroepen te benoemen. Het is belangrijk om goed af te wegen hoe dit het woningaanbod voor reguliere woningzoekenden beïnvloedt. We verwachten dat de nieuwe provinciale huisvestingsverordening, op basis van de Wet versterking regie volkshuisvesting, op zijn vroegst in de tweede helft van 2027 volledig van kracht zal zijn.</w:t>
      </w:r>
    </w:p>
    <w:p w14:paraId="50F783EE" w14:textId="77777777" w:rsidR="005E215E" w:rsidRPr="00EF5594" w:rsidRDefault="005E215E" w:rsidP="005E215E">
      <w:pPr>
        <w:rPr>
          <w:rFonts w:ascii="Arial" w:eastAsia="Arial" w:hAnsi="Arial" w:cs="Arial"/>
          <w:sz w:val="20"/>
          <w:szCs w:val="20"/>
        </w:rPr>
      </w:pPr>
      <w:r w:rsidRPr="00EF5594">
        <w:rPr>
          <w:rFonts w:ascii="Arial" w:eastAsia="Arial" w:hAnsi="Arial" w:cs="Arial"/>
          <w:sz w:val="20"/>
          <w:szCs w:val="20"/>
        </w:rPr>
        <w:t>Wij nemen aan u hiermee voldoende te hebben geïnformeerd.</w:t>
      </w:r>
    </w:p>
    <w:p w14:paraId="428D178E" w14:textId="77777777" w:rsidR="005E215E" w:rsidRPr="00EF5594" w:rsidRDefault="005E215E" w:rsidP="005E215E">
      <w:pPr>
        <w:spacing w:after="0"/>
        <w:rPr>
          <w:rFonts w:ascii="Arial" w:eastAsia="Arial" w:hAnsi="Arial" w:cs="Arial"/>
          <w:sz w:val="20"/>
          <w:szCs w:val="20"/>
        </w:rPr>
      </w:pPr>
    </w:p>
    <w:p w14:paraId="39CD711D" w14:textId="77777777" w:rsidR="005E215E" w:rsidRPr="00EF5594" w:rsidRDefault="005E215E" w:rsidP="005E215E">
      <w:pPr>
        <w:spacing w:after="0"/>
        <w:rPr>
          <w:rFonts w:ascii="Arial" w:eastAsia="Arial" w:hAnsi="Arial" w:cs="Arial"/>
          <w:sz w:val="20"/>
          <w:szCs w:val="20"/>
        </w:rPr>
      </w:pPr>
    </w:p>
    <w:p w14:paraId="197926CD" w14:textId="77777777" w:rsidR="005E215E" w:rsidRPr="00EF5594" w:rsidRDefault="005E215E" w:rsidP="005E215E">
      <w:pPr>
        <w:spacing w:after="0"/>
        <w:rPr>
          <w:rFonts w:ascii="Arial" w:eastAsia="Arial" w:hAnsi="Arial" w:cs="Arial"/>
          <w:sz w:val="20"/>
          <w:szCs w:val="20"/>
        </w:rPr>
      </w:pPr>
      <w:r w:rsidRPr="00EF5594">
        <w:rPr>
          <w:rFonts w:ascii="Arial" w:eastAsia="Arial" w:hAnsi="Arial" w:cs="Arial"/>
          <w:sz w:val="20"/>
          <w:szCs w:val="20"/>
        </w:rPr>
        <w:t>Hoogachtend,</w:t>
      </w:r>
    </w:p>
    <w:p w14:paraId="57D241F7" w14:textId="77777777" w:rsidR="005E215E" w:rsidRDefault="005E215E" w:rsidP="005E215E">
      <w:pPr>
        <w:spacing w:after="0"/>
        <w:rPr>
          <w:rFonts w:ascii="Arial" w:eastAsia="Arial" w:hAnsi="Arial" w:cs="Arial"/>
          <w:sz w:val="20"/>
          <w:szCs w:val="20"/>
        </w:rPr>
      </w:pPr>
    </w:p>
    <w:p w14:paraId="3839831D" w14:textId="77777777" w:rsidR="00CF714E" w:rsidRDefault="00CF714E" w:rsidP="005E215E">
      <w:pPr>
        <w:spacing w:after="0"/>
        <w:rPr>
          <w:rFonts w:ascii="Arial" w:eastAsia="Arial" w:hAnsi="Arial" w:cs="Arial"/>
          <w:sz w:val="20"/>
          <w:szCs w:val="20"/>
        </w:rPr>
      </w:pPr>
    </w:p>
    <w:p w14:paraId="1167B5F9" w14:textId="77777777" w:rsidR="00CF714E" w:rsidRPr="00EF5594" w:rsidRDefault="00CF714E" w:rsidP="005E215E">
      <w:pPr>
        <w:spacing w:after="0"/>
        <w:rPr>
          <w:rFonts w:ascii="Arial" w:eastAsia="Arial" w:hAnsi="Arial" w:cs="Arial"/>
          <w:sz w:val="20"/>
          <w:szCs w:val="20"/>
        </w:rPr>
      </w:pPr>
    </w:p>
    <w:p w14:paraId="52BCBB0B" w14:textId="77777777" w:rsidR="005E215E" w:rsidRPr="00EF5594" w:rsidRDefault="005E215E" w:rsidP="005E215E">
      <w:pPr>
        <w:spacing w:after="0"/>
        <w:rPr>
          <w:rFonts w:ascii="Arial" w:eastAsia="Arial" w:hAnsi="Arial" w:cs="Arial"/>
          <w:sz w:val="20"/>
          <w:szCs w:val="20"/>
        </w:rPr>
      </w:pPr>
    </w:p>
    <w:p w14:paraId="2D606792" w14:textId="414C794D" w:rsidR="005E215E" w:rsidRPr="00EF5594" w:rsidRDefault="005E215E" w:rsidP="005E215E">
      <w:pPr>
        <w:spacing w:after="0"/>
        <w:rPr>
          <w:rFonts w:ascii="Arial" w:eastAsia="Arial" w:hAnsi="Arial" w:cs="Arial"/>
          <w:sz w:val="20"/>
          <w:szCs w:val="20"/>
        </w:rPr>
      </w:pPr>
      <w:r w:rsidRPr="00EF5594">
        <w:rPr>
          <w:rFonts w:ascii="Arial" w:eastAsia="Arial" w:hAnsi="Arial" w:cs="Arial"/>
          <w:sz w:val="20"/>
          <w:szCs w:val="20"/>
        </w:rPr>
        <w:t>P.P.M. van Vilsteren,</w:t>
      </w:r>
      <w:r w:rsidR="00421C74">
        <w:rPr>
          <w:rFonts w:ascii="Arial" w:eastAsia="Arial" w:hAnsi="Arial" w:cs="Arial"/>
          <w:sz w:val="20"/>
          <w:szCs w:val="20"/>
        </w:rPr>
        <w:tab/>
      </w:r>
      <w:r w:rsidR="00421C74">
        <w:rPr>
          <w:rFonts w:ascii="Arial" w:eastAsia="Arial" w:hAnsi="Arial" w:cs="Arial"/>
          <w:sz w:val="20"/>
          <w:szCs w:val="20"/>
        </w:rPr>
        <w:tab/>
      </w:r>
      <w:r w:rsidR="00421C74">
        <w:rPr>
          <w:rFonts w:ascii="Arial" w:eastAsia="Arial" w:hAnsi="Arial" w:cs="Arial"/>
          <w:sz w:val="20"/>
          <w:szCs w:val="20"/>
        </w:rPr>
        <w:tab/>
      </w:r>
      <w:r w:rsidR="00421C74">
        <w:rPr>
          <w:rFonts w:ascii="Arial" w:eastAsia="Arial" w:hAnsi="Arial" w:cs="Arial"/>
          <w:sz w:val="20"/>
          <w:szCs w:val="20"/>
        </w:rPr>
        <w:tab/>
      </w:r>
      <w:r w:rsidR="00946DA1">
        <w:rPr>
          <w:rFonts w:ascii="Arial" w:eastAsia="Arial" w:hAnsi="Arial" w:cs="Arial"/>
          <w:sz w:val="20"/>
          <w:szCs w:val="20"/>
        </w:rPr>
        <w:t>J.C.F. Broekhuizen</w:t>
      </w:r>
      <w:r w:rsidR="00421C74" w:rsidRPr="00EF5594">
        <w:rPr>
          <w:rFonts w:ascii="Arial" w:eastAsia="Arial" w:hAnsi="Arial" w:cs="Arial"/>
          <w:sz w:val="20"/>
          <w:szCs w:val="20"/>
        </w:rPr>
        <w:tab/>
      </w:r>
    </w:p>
    <w:p w14:paraId="667205F5" w14:textId="77777777" w:rsidR="005E215E" w:rsidRPr="00EF5594" w:rsidRDefault="005E215E" w:rsidP="005E215E">
      <w:pPr>
        <w:spacing w:after="0"/>
        <w:rPr>
          <w:rFonts w:ascii="Arial" w:eastAsia="Arial" w:hAnsi="Arial" w:cs="Arial"/>
          <w:sz w:val="20"/>
          <w:szCs w:val="20"/>
        </w:rPr>
      </w:pPr>
      <w:r w:rsidRPr="00EF5594">
        <w:rPr>
          <w:rFonts w:ascii="Arial" w:eastAsia="Arial" w:hAnsi="Arial" w:cs="Arial"/>
          <w:sz w:val="20"/>
          <w:szCs w:val="20"/>
        </w:rPr>
        <w:t>Gemeentesecretaris</w:t>
      </w:r>
      <w:r w:rsidR="00421C74">
        <w:rPr>
          <w:rFonts w:ascii="Arial" w:eastAsia="Arial" w:hAnsi="Arial" w:cs="Arial"/>
          <w:sz w:val="20"/>
          <w:szCs w:val="20"/>
        </w:rPr>
        <w:tab/>
      </w:r>
      <w:r w:rsidR="00421C74">
        <w:rPr>
          <w:rFonts w:ascii="Arial" w:eastAsia="Arial" w:hAnsi="Arial" w:cs="Arial"/>
          <w:sz w:val="20"/>
          <w:szCs w:val="20"/>
        </w:rPr>
        <w:tab/>
      </w:r>
      <w:r w:rsidR="00421C74">
        <w:rPr>
          <w:rFonts w:ascii="Arial" w:eastAsia="Arial" w:hAnsi="Arial" w:cs="Arial"/>
          <w:sz w:val="20"/>
          <w:szCs w:val="20"/>
        </w:rPr>
        <w:tab/>
      </w:r>
      <w:r w:rsidR="00421C74">
        <w:rPr>
          <w:rFonts w:ascii="Arial" w:eastAsia="Arial" w:hAnsi="Arial" w:cs="Arial"/>
          <w:sz w:val="20"/>
          <w:szCs w:val="20"/>
        </w:rPr>
        <w:tab/>
      </w:r>
      <w:r w:rsidR="00421C74" w:rsidRPr="00EF5594">
        <w:rPr>
          <w:rFonts w:ascii="Arial" w:eastAsia="Arial" w:hAnsi="Arial" w:cs="Arial"/>
          <w:sz w:val="20"/>
          <w:szCs w:val="20"/>
        </w:rPr>
        <w:t>Burgemeester</w:t>
      </w:r>
      <w:r w:rsidR="00421C74" w:rsidRPr="00EF5594">
        <w:rPr>
          <w:rFonts w:ascii="Arial" w:eastAsia="Arial" w:hAnsi="Arial" w:cs="Arial"/>
          <w:sz w:val="20"/>
          <w:szCs w:val="20"/>
        </w:rPr>
        <w:tab/>
      </w:r>
      <w:r w:rsidR="00421C74" w:rsidRPr="00EF5594">
        <w:rPr>
          <w:rFonts w:ascii="Arial" w:eastAsia="Arial" w:hAnsi="Arial" w:cs="Arial"/>
          <w:sz w:val="20"/>
          <w:szCs w:val="20"/>
        </w:rPr>
        <w:tab/>
      </w:r>
    </w:p>
    <w:p w14:paraId="3F5B7181" w14:textId="77777777" w:rsidR="005E215E" w:rsidRDefault="005E215E" w:rsidP="005E215E"/>
    <w:p w14:paraId="321E321D" w14:textId="77777777" w:rsidR="005E215E" w:rsidRPr="004E0F06" w:rsidRDefault="005E215E" w:rsidP="005E215E"/>
    <w:p w14:paraId="4B754A9E" w14:textId="77777777" w:rsidR="005E215E" w:rsidRPr="004E0F06" w:rsidRDefault="005E215E" w:rsidP="004E0F06"/>
    <w:sectPr w:rsidR="005E215E" w:rsidRPr="004E0F06" w:rsidSect="004E0F06">
      <w:headerReference w:type="even" r:id="rId8"/>
      <w:headerReference w:type="default" r:id="rId9"/>
      <w:footerReference w:type="even" r:id="rId10"/>
      <w:footerReference w:type="default" r:id="rId11"/>
      <w:headerReference w:type="first" r:id="rId12"/>
      <w:footerReference w:type="first" r:id="rId13"/>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E2E4" w14:textId="77777777" w:rsidR="00573580" w:rsidRDefault="00573580" w:rsidP="00E664FA">
      <w:r>
        <w:separator/>
      </w:r>
    </w:p>
  </w:endnote>
  <w:endnote w:type="continuationSeparator" w:id="0">
    <w:p w14:paraId="0CF14B92" w14:textId="77777777" w:rsidR="00573580" w:rsidRDefault="00573580"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D17B" w14:textId="77777777" w:rsidR="005E215E" w:rsidRDefault="005E21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309B" w14:textId="77777777" w:rsidR="000D5FEC" w:rsidRDefault="005E215E">
    <w:pPr>
      <w:pStyle w:val="Voettekst"/>
    </w:pPr>
    <w:r>
      <w:rPr>
        <w:sz w:val="16"/>
      </w:rPr>
      <w:t>Beantwoording</w:t>
    </w:r>
    <w:r w:rsidR="00EA0CD7">
      <w:rPr>
        <w:sz w:val="16"/>
      </w:rPr>
      <w:t xml:space="preserve"> schriftelijke vraag</w:t>
    </w:r>
    <w:r w:rsidR="000D5FEC" w:rsidRPr="00E9101E">
      <w:t xml:space="preserve"> </w:t>
    </w:r>
    <w:sdt>
      <w:sdtPr>
        <w:id w:val="-1318336367"/>
        <w:docPartObj>
          <w:docPartGallery w:val="Page Numbers (Top of Page)"/>
          <w:docPartUnique/>
        </w:docPartObj>
      </w:sdtPr>
      <w:sdtEndPr>
        <w:rPr>
          <w:sz w:val="16"/>
          <w:szCs w:val="16"/>
        </w:rPr>
      </w:sdtEndPr>
      <w:sdtContent>
        <w:r w:rsidR="000D5FEC">
          <w:tab/>
        </w:r>
        <w:r w:rsidR="000D5FEC">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44FF" w14:textId="77777777" w:rsidR="005E215E" w:rsidRDefault="005E21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63C7" w14:textId="77777777" w:rsidR="00573580" w:rsidRDefault="00573580" w:rsidP="00E664FA">
      <w:r>
        <w:separator/>
      </w:r>
    </w:p>
  </w:footnote>
  <w:footnote w:type="continuationSeparator" w:id="0">
    <w:p w14:paraId="5BE204FA" w14:textId="77777777" w:rsidR="00573580" w:rsidRDefault="00573580"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7209" w14:textId="77777777" w:rsidR="005E215E" w:rsidRDefault="005E21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B185" w14:textId="77777777" w:rsidR="005E215E" w:rsidRDefault="005E21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E67C" w14:textId="77777777" w:rsidR="00E664FA" w:rsidRDefault="00570D3A">
    <w:pPr>
      <w:pStyle w:val="Koptekst"/>
    </w:pPr>
    <w:r>
      <w:rPr>
        <w:noProof/>
        <w:lang w:eastAsia="nl-NL"/>
      </w:rPr>
      <w:drawing>
        <wp:anchor distT="0" distB="0" distL="114300" distR="114300" simplePos="0" relativeHeight="251659776" behindDoc="1" locked="0" layoutInCell="1" allowOverlap="1" wp14:anchorId="2C412741" wp14:editId="5A8BA8AD">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15E"/>
    <w:rsid w:val="00006476"/>
    <w:rsid w:val="0008489B"/>
    <w:rsid w:val="000D5FEC"/>
    <w:rsid w:val="0010523C"/>
    <w:rsid w:val="00130BAE"/>
    <w:rsid w:val="001800E4"/>
    <w:rsid w:val="001D5FF8"/>
    <w:rsid w:val="002443B4"/>
    <w:rsid w:val="003159FF"/>
    <w:rsid w:val="00361E27"/>
    <w:rsid w:val="003E27B5"/>
    <w:rsid w:val="00414281"/>
    <w:rsid w:val="00421C74"/>
    <w:rsid w:val="004D2F57"/>
    <w:rsid w:val="004E0F06"/>
    <w:rsid w:val="00570D3A"/>
    <w:rsid w:val="00573580"/>
    <w:rsid w:val="005B4A44"/>
    <w:rsid w:val="005E215E"/>
    <w:rsid w:val="0071153E"/>
    <w:rsid w:val="00715E19"/>
    <w:rsid w:val="00755D54"/>
    <w:rsid w:val="00873694"/>
    <w:rsid w:val="008A23CA"/>
    <w:rsid w:val="008A4E1E"/>
    <w:rsid w:val="008E4BA8"/>
    <w:rsid w:val="0092098A"/>
    <w:rsid w:val="00946DA1"/>
    <w:rsid w:val="009B2D4B"/>
    <w:rsid w:val="009E1D78"/>
    <w:rsid w:val="00A43C15"/>
    <w:rsid w:val="00A46E47"/>
    <w:rsid w:val="00A57F2F"/>
    <w:rsid w:val="00A6078B"/>
    <w:rsid w:val="00AE1226"/>
    <w:rsid w:val="00B207CB"/>
    <w:rsid w:val="00BA3897"/>
    <w:rsid w:val="00BA3B02"/>
    <w:rsid w:val="00BD5254"/>
    <w:rsid w:val="00BD6FBC"/>
    <w:rsid w:val="00C01AF8"/>
    <w:rsid w:val="00C106E2"/>
    <w:rsid w:val="00C20B72"/>
    <w:rsid w:val="00C42F5B"/>
    <w:rsid w:val="00C6172C"/>
    <w:rsid w:val="00C67149"/>
    <w:rsid w:val="00CC34F7"/>
    <w:rsid w:val="00CD62F6"/>
    <w:rsid w:val="00CF714E"/>
    <w:rsid w:val="00D064CE"/>
    <w:rsid w:val="00D473C2"/>
    <w:rsid w:val="00DD371C"/>
    <w:rsid w:val="00E147D0"/>
    <w:rsid w:val="00E664FA"/>
    <w:rsid w:val="00E87021"/>
    <w:rsid w:val="00EA0CD7"/>
    <w:rsid w:val="00EC0023"/>
    <w:rsid w:val="00F87853"/>
    <w:rsid w:val="00FC7425"/>
    <w:rsid w:val="00FD1C6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0D9390"/>
  <w14:defaultImageDpi w14:val="300"/>
  <w15:chartTrackingRefBased/>
  <w15:docId w15:val="{E3A61C8A-F662-4E8B-948E-BA1108D3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215E"/>
    <w:pPr>
      <w:spacing w:after="200" w:line="276" w:lineRule="auto"/>
    </w:pPr>
    <w:rPr>
      <w:sz w:val="22"/>
      <w:szCs w:val="22"/>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style>
  <w:style w:type="paragraph" w:styleId="Inhopg2">
    <w:name w:val="toc 2"/>
    <w:basedOn w:val="Standaard"/>
    <w:next w:val="Standaard"/>
    <w:autoRedefine/>
    <w:uiPriority w:val="39"/>
    <w:unhideWhenUsed/>
    <w:rsid w:val="004D2F57"/>
    <w:pPr>
      <w:spacing w:after="100"/>
      <w:ind w:left="200"/>
    </w:p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table" w:styleId="Rastertabel1licht-Accent5">
    <w:name w:val="Grid Table 1 Light Accent 5"/>
    <w:basedOn w:val="Standaardtabel"/>
    <w:uiPriority w:val="46"/>
    <w:rsid w:val="005E215E"/>
    <w:rPr>
      <w:sz w:val="22"/>
      <w:szCs w:val="22"/>
    </w:rPr>
    <w:tblPr>
      <w:tblStyleRowBandSize w:val="1"/>
      <w:tblStyleColBandSize w:val="1"/>
      <w:tblBorders>
        <w:top w:val="single" w:sz="8" w:space="0" w:color="1BB7BA"/>
        <w:left w:val="single" w:sz="8" w:space="0" w:color="1BB7BA"/>
        <w:bottom w:val="single" w:sz="8" w:space="0" w:color="1BB7BA"/>
        <w:right w:val="single" w:sz="8" w:space="0" w:color="1BB7BA"/>
        <w:insideH w:val="single" w:sz="8" w:space="0" w:color="1BB7BA"/>
        <w:insideV w:val="single" w:sz="8" w:space="0" w:color="1BB7BA"/>
      </w:tblBorders>
    </w:tblPr>
    <w:tblStylePr w:type="firstRow">
      <w:rPr>
        <w:b/>
        <w:bCs/>
      </w:rPr>
      <w:tblPr/>
      <w:tcPr>
        <w:tcBorders>
          <w:bottom w:val="single" w:sz="12" w:space="0" w:color="63E5E8" w:themeColor="accent5" w:themeTint="99"/>
        </w:tcBorders>
      </w:tcPr>
    </w:tblStylePr>
    <w:tblStylePr w:type="lastRow">
      <w:rPr>
        <w:b/>
        <w:bCs/>
      </w:rPr>
      <w:tblPr/>
      <w:tcPr>
        <w:tcBorders>
          <w:top w:val="double" w:sz="2" w:space="0" w:color="63E5E8"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886EC-7923-4DD4-B550-357D7730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5674</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Kastermans</dc:creator>
  <cp:keywords/>
  <dc:description/>
  <cp:lastModifiedBy>Klarina Brands</cp:lastModifiedBy>
  <cp:revision>2</cp:revision>
  <dcterms:created xsi:type="dcterms:W3CDTF">2026-03-26T11:04:00Z</dcterms:created>
  <dcterms:modified xsi:type="dcterms:W3CDTF">2026-03-26T11:04:00Z</dcterms:modified>
</cp:coreProperties>
</file>